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485" w:rsidRPr="00845E28" w:rsidRDefault="00310F86" w:rsidP="00845E28">
      <w:pPr>
        <w:jc w:val="both"/>
        <w:rPr>
          <w:rFonts w:ascii="Sylfaen" w:hAnsi="Sylfaen"/>
          <w:b/>
          <w:sz w:val="24"/>
          <w:szCs w:val="24"/>
          <w:lang w:val="ka-GE"/>
        </w:rPr>
      </w:pPr>
      <w:bookmarkStart w:id="0" w:name="_GoBack"/>
      <w:bookmarkEnd w:id="0"/>
      <w:r w:rsidRPr="00845E28">
        <w:rPr>
          <w:rFonts w:ascii="Sylfaen" w:hAnsi="Sylfaen"/>
          <w:b/>
          <w:sz w:val="24"/>
          <w:szCs w:val="24"/>
        </w:rPr>
        <w:t xml:space="preserve"> </w:t>
      </w:r>
      <w:r w:rsidR="00B90485" w:rsidRPr="00845E28">
        <w:rPr>
          <w:rFonts w:ascii="Sylfaen" w:hAnsi="Sylfaen"/>
          <w:b/>
          <w:sz w:val="24"/>
          <w:szCs w:val="24"/>
          <w:lang w:val="ka-GE"/>
        </w:rPr>
        <w:t>პასუხისმგებელი უწყება:  საქართველოს შრომის, ჯანმრთელობის დაცვისა და სოციალურ საკითხთა სამინისტრო</w:t>
      </w:r>
      <w:r w:rsidR="005C181B" w:rsidRPr="00845E28">
        <w:rPr>
          <w:rFonts w:ascii="Sylfaen" w:hAnsi="Sylfaen"/>
          <w:b/>
          <w:sz w:val="24"/>
          <w:szCs w:val="24"/>
          <w:lang w:val="ka-GE"/>
        </w:rPr>
        <w:t>, დაავადებათა კონტროლის და საზოგადოებრივი ჯნამრთელობის ეროვნული ცენტრი</w:t>
      </w:r>
    </w:p>
    <w:p w:rsidR="00B90485" w:rsidRPr="00845E28" w:rsidRDefault="00B90485" w:rsidP="00845E28">
      <w:pPr>
        <w:jc w:val="both"/>
        <w:rPr>
          <w:rFonts w:ascii="Sylfaen" w:hAnsi="Sylfaen"/>
          <w:sz w:val="24"/>
          <w:szCs w:val="24"/>
          <w:lang w:val="ka-GE"/>
        </w:rPr>
      </w:pPr>
      <w:r w:rsidRPr="00845E28">
        <w:rPr>
          <w:rFonts w:ascii="Sylfaen" w:hAnsi="Sylfaen"/>
          <w:b/>
          <w:sz w:val="24"/>
          <w:szCs w:val="24"/>
          <w:lang w:val="ka-GE"/>
        </w:rPr>
        <w:t>საკონტაქტო პირი:</w:t>
      </w:r>
      <w:r w:rsidRPr="00845E28">
        <w:rPr>
          <w:rFonts w:ascii="Sylfaen" w:hAnsi="Sylfaen"/>
          <w:sz w:val="24"/>
          <w:szCs w:val="24"/>
          <w:lang w:val="ka-GE"/>
        </w:rPr>
        <w:t xml:space="preserve"> სახელი გვარი, თანმდებობა, საკონტაქტო ინფორმაცია: </w:t>
      </w:r>
      <w:r w:rsidR="005C181B" w:rsidRPr="00845E28">
        <w:rPr>
          <w:rFonts w:ascii="Sylfaen" w:hAnsi="Sylfaen"/>
          <w:sz w:val="24"/>
          <w:szCs w:val="24"/>
          <w:lang w:val="ka-GE"/>
        </w:rPr>
        <w:t>ლელა სტურუა,</w:t>
      </w:r>
      <w:r w:rsidRPr="00845E28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845E28">
        <w:rPr>
          <w:rFonts w:ascii="Sylfaen" w:hAnsi="Sylfaen"/>
          <w:sz w:val="24"/>
          <w:szCs w:val="24"/>
          <w:lang w:val="ka-GE"/>
        </w:rPr>
        <w:t>არაგადამდები დაავადებების დეპარტამენტის უფროსი</w:t>
      </w:r>
      <w:r w:rsidRPr="00845E28">
        <w:rPr>
          <w:rFonts w:ascii="Sylfaen" w:hAnsi="Sylfaen"/>
          <w:sz w:val="24"/>
          <w:szCs w:val="24"/>
          <w:lang w:val="ka-GE"/>
        </w:rPr>
        <w:t xml:space="preserve"> </w:t>
      </w:r>
      <w:r w:rsidR="005C181B" w:rsidRPr="00845E28">
        <w:rPr>
          <w:rFonts w:ascii="Sylfaen" w:hAnsi="Sylfaen"/>
          <w:sz w:val="24"/>
          <w:szCs w:val="24"/>
          <w:lang w:val="ka-GE"/>
        </w:rPr>
        <w:t>599111797</w:t>
      </w:r>
    </w:p>
    <w:p w:rsidR="00C90186" w:rsidRPr="00845E28" w:rsidRDefault="00B90485" w:rsidP="00845E28">
      <w:pPr>
        <w:jc w:val="both"/>
        <w:rPr>
          <w:rFonts w:ascii="Sylfaen" w:hAnsi="Sylfaen"/>
          <w:sz w:val="24"/>
          <w:szCs w:val="24"/>
          <w:u w:color="FF0000"/>
        </w:rPr>
      </w:pPr>
      <w:r w:rsidRPr="00845E28">
        <w:rPr>
          <w:rFonts w:ascii="Sylfaen" w:hAnsi="Sylfaen"/>
          <w:b/>
          <w:sz w:val="24"/>
          <w:szCs w:val="24"/>
          <w:lang w:val="ka-GE"/>
        </w:rPr>
        <w:t>დირექტივა /რეგულაცია /რეკომენდაცია:</w:t>
      </w:r>
      <w:r w:rsidRPr="00845E28">
        <w:rPr>
          <w:rFonts w:ascii="Sylfaen" w:hAnsi="Sylfaen"/>
          <w:sz w:val="24"/>
          <w:szCs w:val="24"/>
          <w:lang w:val="ka-GE"/>
        </w:rPr>
        <w:t xml:space="preserve">   </w:t>
      </w:r>
      <w:r w:rsidR="00C90186" w:rsidRPr="00845E28">
        <w:rPr>
          <w:rFonts w:ascii="Sylfaen" w:hAnsi="Sylfaen"/>
          <w:sz w:val="24"/>
          <w:szCs w:val="24"/>
          <w:u w:color="FF0000"/>
        </w:rPr>
        <w:t>2002</w:t>
      </w:r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წლის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r w:rsidR="00C90186" w:rsidRPr="00845E28">
        <w:rPr>
          <w:rFonts w:ascii="Sylfaen" w:hAnsi="Sylfaen"/>
          <w:sz w:val="24"/>
          <w:szCs w:val="24"/>
          <w:u w:color="FF0000"/>
        </w:rPr>
        <w:t>2</w:t>
      </w:r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დეკემბრის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საბჭოს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რეკომენდაცია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r w:rsidR="00C90186" w:rsidRPr="00845E28">
        <w:rPr>
          <w:rFonts w:ascii="Sylfaen" w:hAnsi="Sylfaen"/>
          <w:sz w:val="24"/>
          <w:szCs w:val="24"/>
          <w:lang w:val="ka-GE"/>
        </w:rPr>
        <w:t xml:space="preserve">თამბაქოს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მოწევის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პრევენციისა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და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თამბაქოს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კონტროლის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სრულყოფა</w:t>
      </w:r>
      <w:proofErr w:type="spellEnd"/>
      <w:r w:rsidR="00C90186" w:rsidRPr="00845E28">
        <w:rPr>
          <w:rFonts w:ascii="Sylfaen" w:hAnsi="Sylfaen"/>
          <w:sz w:val="24"/>
          <w:szCs w:val="24"/>
          <w:u w:color="FF0000"/>
          <w:lang w:val="ka-GE"/>
        </w:rPr>
        <w:t>ს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თან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დაკავშირებული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ინიციატივების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proofErr w:type="spellStart"/>
      <w:r w:rsidR="00C90186" w:rsidRPr="00845E28">
        <w:rPr>
          <w:rFonts w:ascii="Sylfaen" w:hAnsi="Sylfaen"/>
          <w:sz w:val="24"/>
          <w:szCs w:val="24"/>
          <w:u w:color="FF0000"/>
        </w:rPr>
        <w:t>შესახებ</w:t>
      </w:r>
      <w:proofErr w:type="spellEnd"/>
      <w:r w:rsidR="00C90186" w:rsidRPr="00845E28">
        <w:rPr>
          <w:rFonts w:ascii="Sylfaen" w:hAnsi="Sylfaen"/>
          <w:sz w:val="24"/>
          <w:szCs w:val="24"/>
        </w:rPr>
        <w:t xml:space="preserve"> </w:t>
      </w:r>
      <w:r w:rsidR="00C90186" w:rsidRPr="00845E28">
        <w:rPr>
          <w:rFonts w:ascii="Sylfaen" w:hAnsi="Sylfaen"/>
          <w:sz w:val="24"/>
          <w:szCs w:val="24"/>
          <w:lang w:val="ka-GE"/>
        </w:rPr>
        <w:t>(N</w:t>
      </w:r>
      <w:r w:rsidR="00C90186" w:rsidRPr="00845E28">
        <w:rPr>
          <w:rFonts w:ascii="Sylfaen" w:hAnsi="Sylfaen"/>
          <w:sz w:val="24"/>
          <w:szCs w:val="24"/>
          <w:u w:color="FF0000"/>
          <w:lang w:val="ka-GE"/>
        </w:rPr>
        <w:t xml:space="preserve"> 2003/54/EC)</w:t>
      </w:r>
    </w:p>
    <w:p w:rsidR="00E464D6" w:rsidRPr="00845E28" w:rsidRDefault="00E464D6" w:rsidP="00845E28">
      <w:pPr>
        <w:spacing w:line="240" w:lineRule="auto"/>
        <w:jc w:val="both"/>
        <w:rPr>
          <w:rFonts w:ascii="Sylfaen" w:hAnsi="Sylfaen"/>
          <w:sz w:val="24"/>
          <w:szCs w:val="24"/>
        </w:rPr>
      </w:pPr>
    </w:p>
    <w:p w:rsidR="00052DB4" w:rsidRPr="00845E28" w:rsidRDefault="00052DB4" w:rsidP="00845E28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13724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1"/>
        <w:gridCol w:w="6759"/>
        <w:gridCol w:w="2880"/>
        <w:gridCol w:w="3484"/>
      </w:tblGrid>
      <w:tr w:rsidR="00052DB4" w:rsidRPr="00845E28" w:rsidTr="008A6D88">
        <w:trPr>
          <w:trHeight w:val="350"/>
        </w:trPr>
        <w:tc>
          <w:tcPr>
            <w:tcW w:w="7360" w:type="dxa"/>
            <w:gridSpan w:val="2"/>
            <w:shd w:val="clear" w:color="auto" w:fill="DBE5F1" w:themeFill="accent1" w:themeFillTint="33"/>
          </w:tcPr>
          <w:p w:rsidR="00052DB4" w:rsidRPr="00845E28" w:rsidRDefault="00052DB4" w:rsidP="00845E28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რეგულ</w:t>
            </w:r>
            <w:r w:rsidR="001C4EC5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ირების</w:t>
            </w: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სფერო</w:t>
            </w:r>
            <w:r w:rsidR="005532A9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და მიზნები</w:t>
            </w:r>
          </w:p>
        </w:tc>
        <w:tc>
          <w:tcPr>
            <w:tcW w:w="2880" w:type="dxa"/>
            <w:shd w:val="clear" w:color="auto" w:fill="DBE5F1" w:themeFill="accent1" w:themeFillTint="33"/>
          </w:tcPr>
          <w:p w:rsidR="00052DB4" w:rsidRPr="00845E28" w:rsidRDefault="001C4EC5" w:rsidP="00845E28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</w:t>
            </w:r>
            <w:r w:rsidR="00052DB4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ვადა</w:t>
            </w: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</w:t>
            </w:r>
            <w:r w:rsidR="005532A9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/</w:t>
            </w:r>
            <w:r w:rsidR="008A6D88" w:rsidRPr="00845E28">
              <w:rPr>
                <w:rFonts w:ascii="Sylfaen" w:hAnsi="Sylfaen"/>
                <w:b/>
                <w:sz w:val="24"/>
                <w:szCs w:val="24"/>
              </w:rPr>
              <w:t xml:space="preserve"> </w:t>
            </w:r>
            <w:r w:rsidR="005532A9" w:rsidRPr="00845E28">
              <w:rPr>
                <w:rFonts w:ascii="Sylfaen" w:hAnsi="Sylfaen" w:cs="Sylfaen"/>
                <w:b/>
                <w:sz w:val="24"/>
                <w:szCs w:val="24"/>
                <w:lang w:val="ka-GE"/>
              </w:rPr>
              <w:t>არ</w:t>
            </w:r>
            <w:r w:rsidR="005532A9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 არის განსაზღვრული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052DB4" w:rsidRPr="00845E28" w:rsidRDefault="009F3C66" w:rsidP="00845E28">
            <w:pPr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</w:t>
            </w:r>
            <w:r w:rsidR="002D2EBE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ს </w:t>
            </w:r>
            <w:r w:rsidR="00250885"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შესრულების მდგომარეობა</w:t>
            </w:r>
          </w:p>
        </w:tc>
      </w:tr>
      <w:tr w:rsidR="00052DB4" w:rsidRPr="00845E28" w:rsidTr="008A6D88">
        <w:trPr>
          <w:trHeight w:val="1790"/>
        </w:trPr>
        <w:tc>
          <w:tcPr>
            <w:tcW w:w="7360" w:type="dxa"/>
            <w:gridSpan w:val="2"/>
          </w:tcPr>
          <w:p w:rsidR="00CF5026" w:rsidRPr="00845E28" w:rsidRDefault="00F43634" w:rsidP="00845E28">
            <w:pPr>
              <w:ind w:left="250"/>
              <w:jc w:val="both"/>
              <w:rPr>
                <w:rFonts w:ascii="Sylfaen" w:hAnsi="Sylfaen" w:cs="Arial"/>
                <w:color w:val="666666"/>
                <w:sz w:val="24"/>
                <w:szCs w:val="24"/>
                <w:shd w:val="clear" w:color="auto" w:fill="FFFFFF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ევროპარლამენტის და საბჭოს 2014 წლის 3 აპრილის </w:t>
            </w:r>
            <w:r w:rsidR="00F014CB"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დირექტივის რეგულირების სფეროა</w:t>
            </w: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 </w:t>
            </w:r>
            <w:r w:rsidRPr="00845E28">
              <w:rPr>
                <w:rFonts w:ascii="Sylfaen" w:hAnsi="Sylfaen" w:cs="Sylfaen"/>
                <w:sz w:val="24"/>
                <w:szCs w:val="24"/>
              </w:rPr>
              <w:t>(</w:t>
            </w: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2014/40/</w:t>
            </w:r>
            <w:r w:rsidRPr="00845E28">
              <w:rPr>
                <w:rFonts w:ascii="Sylfaen" w:hAnsi="Sylfaen" w:cs="Sylfaen"/>
                <w:sz w:val="24"/>
                <w:szCs w:val="24"/>
              </w:rPr>
              <w:t xml:space="preserve">EU) </w:t>
            </w: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თამბაქოს </w:t>
            </w:r>
            <w:r w:rsidR="00526702" w:rsidRPr="00845E28">
              <w:rPr>
                <w:rFonts w:ascii="Sylfaen" w:hAnsi="Sylfaen" w:cs="Sylfaen"/>
                <w:sz w:val="24"/>
                <w:szCs w:val="24"/>
                <w:lang w:val="ka-GE"/>
              </w:rPr>
              <w:t xml:space="preserve">კონტროლი. დირექტივის მიზანია თამბაქოს </w:t>
            </w:r>
            <w:r w:rsidR="00C90186"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მავნე ზემოქმედებისგან მოსახლეობის დაცვა და თამბაქოს კონტროლის ღონისძიებების დახვეწა უმაღლესი საერთაშორისო სტანდარტის შესაბამისად</w:t>
            </w:r>
          </w:p>
          <w:p w:rsidR="00052DB4" w:rsidRPr="00845E28" w:rsidRDefault="00052DB4" w:rsidP="00845E28">
            <w:pPr>
              <w:ind w:left="250"/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52DB4" w:rsidRPr="00845E28" w:rsidRDefault="00C90186" w:rsidP="00845E28">
            <w:pPr>
              <w:ind w:left="250"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ვადა არ არის განსაზღვრული</w:t>
            </w:r>
          </w:p>
        </w:tc>
        <w:tc>
          <w:tcPr>
            <w:tcW w:w="3484" w:type="dxa"/>
          </w:tcPr>
          <w:p w:rsidR="00B904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შესრულებული</w:t>
            </w:r>
          </w:p>
          <w:p w:rsidR="00B904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u w:val="single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u w:val="single"/>
                <w:lang w:val="ka-GE"/>
              </w:rPr>
              <w:t>პროცესში</w:t>
            </w:r>
          </w:p>
          <w:p w:rsidR="00B904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ვადაგადაცილებული</w:t>
            </w:r>
          </w:p>
          <w:p w:rsidR="00250885" w:rsidRPr="00845E28" w:rsidRDefault="00B90485" w:rsidP="00845E28">
            <w:pPr>
              <w:pStyle w:val="ListParagraph"/>
              <w:numPr>
                <w:ilvl w:val="0"/>
                <w:numId w:val="2"/>
              </w:num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 w:cs="Sylfaen"/>
                <w:sz w:val="24"/>
                <w:szCs w:val="24"/>
                <w:lang w:val="ka-GE"/>
              </w:rPr>
              <w:t>გაჩერებული/მოლაპარაკების პროცესში</w:t>
            </w:r>
          </w:p>
        </w:tc>
      </w:tr>
      <w:tr w:rsidR="00B90485" w:rsidRPr="00845E28" w:rsidTr="00B90485">
        <w:trPr>
          <w:trHeight w:val="588"/>
        </w:trPr>
        <w:tc>
          <w:tcPr>
            <w:tcW w:w="10240" w:type="dxa"/>
            <w:gridSpan w:val="3"/>
            <w:shd w:val="clear" w:color="auto" w:fill="DBE5F1" w:themeFill="accent1" w:themeFillTint="33"/>
          </w:tcPr>
          <w:p w:rsidR="00B90485" w:rsidRPr="00845E28" w:rsidRDefault="00B90485" w:rsidP="00845E28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ვალდებულების შესრულების  ქრონოლოგია</w:t>
            </w:r>
          </w:p>
          <w:p w:rsidR="00B90485" w:rsidRPr="00845E28" w:rsidRDefault="00B90485" w:rsidP="00845E28">
            <w:pPr>
              <w:contextualSpacing/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(იმპლემენტაციის მიზნით გატარებული ღონისძიებების ჩამონათვალი, მათ შორის: მიღებული/ მომზადებული ნორმატიული აქტები, გატარებული ღონისძიებები, სხვა მიმდინარე პროცესები)</w:t>
            </w:r>
          </w:p>
        </w:tc>
        <w:tc>
          <w:tcPr>
            <w:tcW w:w="3484" w:type="dxa"/>
            <w:shd w:val="clear" w:color="auto" w:fill="DBE5F1" w:themeFill="accent1" w:themeFillTint="33"/>
          </w:tcPr>
          <w:p w:rsidR="00B90485" w:rsidRPr="00845E28" w:rsidRDefault="00B90485" w:rsidP="00845E28">
            <w:pPr>
              <w:contextualSpacing/>
              <w:jc w:val="both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b/>
                <w:sz w:val="24"/>
                <w:szCs w:val="24"/>
                <w:lang w:val="ka-GE"/>
              </w:rPr>
              <w:t>შენიშვნა</w:t>
            </w:r>
          </w:p>
        </w:tc>
      </w:tr>
      <w:tr w:rsidR="00B90485" w:rsidRPr="00845E28" w:rsidTr="00F865B3">
        <w:trPr>
          <w:trHeight w:val="2542"/>
        </w:trPr>
        <w:tc>
          <w:tcPr>
            <w:tcW w:w="601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1</w:t>
            </w:r>
          </w:p>
        </w:tc>
        <w:tc>
          <w:tcPr>
            <w:tcW w:w="9639" w:type="dxa"/>
            <w:gridSpan w:val="2"/>
          </w:tcPr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კომისიის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სამუშაო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ჯგუფის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2013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წელს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შემუშავებულია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რეკლამის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შესახბ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საგადასახადო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კოდექსის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ადმინისტრაციულ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სამართალდაღვევათ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კოდექსის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“,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საზოგადობრივი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მაუწყვებლის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შესახებ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პროექტები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ცვილებების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პროექტები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მიზნად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ისახავს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ღონისძიებების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გაძლიერებას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სახელმწიფო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სტრატეგიისა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სამოქმედო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გეგმის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დამტკიცებული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მთავრობის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მიერ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),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ევროკავშირის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შესაბამის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დირექტივების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რეკომენდაციების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ჯანმო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-ს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ჩარჩო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კონვენციის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მისი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აღსრულების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გაიდლაინების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შესაბამისად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ასევე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პრინციპების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შემდეგი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: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ჯანდაცვითი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გადაწყვეტილებების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მომზადების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მიღებისა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დანერგვის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პროცესში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ინდუსტრიის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ინტერესების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დაუშვებლობა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ინდუსტრიასთან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საჯარო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ორგანიზაციების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/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პირების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ურთიერთობათა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გამჭვირვალეობა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‘‘;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მწარმოებელთა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რეალიზატორთა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პასუხისმგებლობა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–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აანაზღაურონ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ჯანმრთელობისა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გარემოსთვის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წარმოებით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მიყენებული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ზარალი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“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შემცველობის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კონტროლი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‘‘;</w:t>
            </w:r>
          </w:p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ფართოვდება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ტერმინი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მას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ისეთი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სახეობა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როგორებიცაა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მაგალითად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ჩილიმისთვის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‘‘, ,,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საწუწნი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ა.შ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.;</w:t>
            </w:r>
          </w:p>
          <w:p w:rsid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კანონს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ემატება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ტერმინი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აქსესუარი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lastRenderedPageBreak/>
              <w:t>მოწყობილობა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რიმელშიც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გადის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მუნდშტუკი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ჩიბუხი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ჩილიმი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შესასუნთქი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საწუწნი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სიგარეტის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ასანთები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სანთებელები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გასახვევი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სპეციალური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ქაღალდი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შესახვევი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დასაჭრელი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აპარატი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საფერფლე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ნებისმიერი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სახის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პორტსიგარა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სხვა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საგნები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რომლებიც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უპირატესად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შენახვისათვის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აგრეთვე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სიგარეტის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მისი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კოლოფის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ზემოაღნიშნული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საგნების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ილუსტრაციები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ან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გამომსახველი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სხვა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საგნები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შედეგად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, „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აქსესუარი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მოხმარებისათვის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განკუთვნილი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მოწყობილობაზეც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‘‘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გავრცელდება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რეალიზაციისთვის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არსებული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შეზღუდვები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აკრძალვები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;</w:t>
            </w:r>
          </w:p>
          <w:p w:rsidR="00C90186" w:rsidRPr="00845E28" w:rsidRDefault="00C90186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br/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საქართველოს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საგადასახადო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კოდექსის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მიხედვით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გათვალისწინებულია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თამბაქოს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ნაწარმის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ყოვე</w:t>
            </w:r>
            <w:proofErr w:type="spellEnd"/>
            <w:r w:rsidR="00885A3C">
              <w:rPr>
                <w:rFonts w:ascii="Sylfaen" w:hAnsi="Sylfaen" w:cs="Calibri"/>
                <w:color w:val="000000"/>
                <w:sz w:val="24"/>
                <w:szCs w:val="24"/>
                <w:lang w:val="ka-GE"/>
              </w:rPr>
              <w:t>ლ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წლიური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დაბეგვრის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ზრდა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ასევე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ელექტორნული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სიგარეტზე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დაბეგვრის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მექანიზმების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შემოღება</w:t>
            </w:r>
            <w:proofErr w:type="spellEnd"/>
            <w:r w:rsidRPr="00845E28">
              <w:rPr>
                <w:rFonts w:ascii="Sylfaen" w:hAnsi="Sylfaen" w:cs="Calibri"/>
                <w:color w:val="000000"/>
                <w:sz w:val="24"/>
                <w:szCs w:val="24"/>
              </w:rPr>
              <w:t>.</w:t>
            </w:r>
          </w:p>
          <w:p w:rsidR="00F865B3" w:rsidRPr="00845E28" w:rsidRDefault="00F865B3" w:rsidP="00845E28">
            <w:pPr>
              <w:jc w:val="both"/>
              <w:rPr>
                <w:rFonts w:ascii="Sylfaen" w:hAnsi="Sylfaen" w:cs="Calibri"/>
                <w:color w:val="000000"/>
                <w:sz w:val="24"/>
                <w:szCs w:val="24"/>
              </w:rPr>
            </w:pPr>
          </w:p>
        </w:tc>
        <w:tc>
          <w:tcPr>
            <w:tcW w:w="3484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845E28" w:rsidTr="00B90485">
        <w:trPr>
          <w:trHeight w:val="701"/>
        </w:trPr>
        <w:tc>
          <w:tcPr>
            <w:tcW w:w="601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2</w:t>
            </w:r>
          </w:p>
        </w:tc>
        <w:tc>
          <w:tcPr>
            <w:tcW w:w="9639" w:type="dxa"/>
            <w:gridSpan w:val="2"/>
          </w:tcPr>
          <w:p w:rsidR="00B90485" w:rsidRPr="00845E28" w:rsidRDefault="00B56D54" w:rsidP="00B56D54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</w:rPr>
              <w:t xml:space="preserve">2017 </w:t>
            </w:r>
            <w:r w:rsidR="008A6D88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წლის </w:t>
            </w:r>
            <w:r w:rsidR="00281F60" w:rsidRPr="00845E28">
              <w:rPr>
                <w:rFonts w:ascii="Sylfaen" w:hAnsi="Sylfaen"/>
                <w:sz w:val="24"/>
                <w:szCs w:val="24"/>
              </w:rPr>
              <w:t>5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81F60" w:rsidRPr="00845E28">
              <w:rPr>
                <w:rFonts w:ascii="Sylfaen" w:hAnsi="Sylfaen"/>
                <w:sz w:val="24"/>
                <w:szCs w:val="24"/>
                <w:lang w:val="ka-GE"/>
              </w:rPr>
              <w:t>აპრილს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კანონპროექტთა პაკეტი </w:t>
            </w:r>
            <w:r w:rsidR="00281F60" w:rsidRPr="00845E28">
              <w:rPr>
                <w:rFonts w:ascii="Sylfaen" w:hAnsi="Sylfaen"/>
                <w:sz w:val="24"/>
                <w:szCs w:val="24"/>
                <w:lang w:val="ka-GE"/>
              </w:rPr>
              <w:t>თამბაქოს კონტროლის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შესახებ საქართველოს </w:t>
            </w:r>
            <w:r w:rsidR="00281F60" w:rsidRPr="00845E28">
              <w:rPr>
                <w:rFonts w:ascii="Sylfaen" w:hAnsi="Sylfaen"/>
                <w:sz w:val="24"/>
                <w:szCs w:val="24"/>
                <w:lang w:val="ka-GE"/>
              </w:rPr>
              <w:t>პარლამენტის ჯანმრთელობის დაცვისა და სოციალურ საკითხთა კომიტეტმა (წამყვანი) პირველი მოსმენით განიხილა</w:t>
            </w:r>
          </w:p>
        </w:tc>
        <w:tc>
          <w:tcPr>
            <w:tcW w:w="3484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B90485" w:rsidRPr="00845E28" w:rsidTr="00B90485">
        <w:trPr>
          <w:trHeight w:val="710"/>
        </w:trPr>
        <w:tc>
          <w:tcPr>
            <w:tcW w:w="601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3</w:t>
            </w:r>
          </w:p>
        </w:tc>
        <w:tc>
          <w:tcPr>
            <w:tcW w:w="9639" w:type="dxa"/>
            <w:gridSpan w:val="2"/>
          </w:tcPr>
          <w:p w:rsidR="00B90485" w:rsidRPr="00845E28" w:rsidRDefault="008A6D88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2017 წლის </w:t>
            </w:r>
            <w:r w:rsidR="002C0F4D" w:rsidRPr="00845E28">
              <w:rPr>
                <w:rFonts w:ascii="Sylfaen" w:hAnsi="Sylfaen"/>
                <w:sz w:val="24"/>
                <w:szCs w:val="24"/>
                <w:lang w:val="ka-GE"/>
              </w:rPr>
              <w:t>17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</w:t>
            </w:r>
            <w:r w:rsidR="002C0F4D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მაისს </w:t>
            </w:r>
            <w:r w:rsidR="00B90485" w:rsidRPr="00845E28">
              <w:rPr>
                <w:rFonts w:ascii="Sylfaen" w:hAnsi="Sylfaen"/>
                <w:sz w:val="24"/>
                <w:szCs w:val="24"/>
                <w:lang w:val="ka-GE"/>
              </w:rPr>
              <w:t>საქართველოს პარლამენტ</w:t>
            </w:r>
            <w:r w:rsidR="002C0F4D" w:rsidRPr="00845E28">
              <w:rPr>
                <w:rFonts w:ascii="Sylfaen" w:hAnsi="Sylfaen"/>
                <w:sz w:val="24"/>
                <w:szCs w:val="24"/>
                <w:lang w:val="ka-GE"/>
              </w:rPr>
              <w:t>მა მესამე მოსმენით დაამტკიცა</w:t>
            </w:r>
          </w:p>
        </w:tc>
        <w:tc>
          <w:tcPr>
            <w:tcW w:w="3484" w:type="dxa"/>
          </w:tcPr>
          <w:p w:rsidR="00B90485" w:rsidRPr="00845E28" w:rsidRDefault="00B90485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2C0F4D" w:rsidRPr="00845E28" w:rsidTr="00B90485">
        <w:trPr>
          <w:trHeight w:val="710"/>
        </w:trPr>
        <w:tc>
          <w:tcPr>
            <w:tcW w:w="601" w:type="dxa"/>
          </w:tcPr>
          <w:p w:rsidR="002C0F4D" w:rsidRPr="00845E28" w:rsidRDefault="002C0F4D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4</w:t>
            </w:r>
          </w:p>
        </w:tc>
        <w:tc>
          <w:tcPr>
            <w:tcW w:w="9639" w:type="dxa"/>
            <w:gridSpan w:val="2"/>
          </w:tcPr>
          <w:p w:rsidR="002C0F4D" w:rsidRPr="00845E28" w:rsidRDefault="00953B6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>კანონი ძალაშია გამოქვეყნებისთანავე (30.05.2017)</w:t>
            </w:r>
          </w:p>
        </w:tc>
        <w:tc>
          <w:tcPr>
            <w:tcW w:w="3484" w:type="dxa"/>
          </w:tcPr>
          <w:p w:rsidR="002C0F4D" w:rsidRPr="00845E28" w:rsidRDefault="002C0F4D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  <w:tr w:rsidR="006A1D06" w:rsidRPr="00845E28" w:rsidTr="00B90485">
        <w:trPr>
          <w:trHeight w:val="548"/>
        </w:trPr>
        <w:tc>
          <w:tcPr>
            <w:tcW w:w="601" w:type="dxa"/>
          </w:tcPr>
          <w:p w:rsidR="006A1D06" w:rsidRPr="00845E28" w:rsidRDefault="006A1D0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5</w:t>
            </w:r>
          </w:p>
        </w:tc>
        <w:tc>
          <w:tcPr>
            <w:tcW w:w="9639" w:type="dxa"/>
            <w:gridSpan w:val="2"/>
          </w:tcPr>
          <w:p w:rsidR="006A1D06" w:rsidRPr="00845E28" w:rsidRDefault="006A1D0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შრომის, ჯანმრთელობისა და სოციალური დაცვის სამინისტროს </w:t>
            </w:r>
            <w:r w:rsidR="00C90186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და სხვა პასუხისმგებელი ორგანოების </w:t>
            </w:r>
            <w:r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მიერ </w:t>
            </w:r>
            <w:r w:rsidR="00885A3C">
              <w:rPr>
                <w:rFonts w:ascii="Sylfaen" w:hAnsi="Sylfaen"/>
                <w:sz w:val="24"/>
                <w:szCs w:val="24"/>
                <w:lang w:val="ka-GE"/>
              </w:rPr>
              <w:t>მომზადდა</w:t>
            </w:r>
            <w:r w:rsidR="000D4852" w:rsidRPr="00845E28">
              <w:rPr>
                <w:rFonts w:ascii="Sylfaen" w:hAnsi="Sylfaen"/>
                <w:sz w:val="24"/>
                <w:szCs w:val="24"/>
                <w:lang w:val="ka-GE"/>
              </w:rPr>
              <w:t xml:space="preserve"> შესაბამისი ნორმატიული აქტ</w:t>
            </w:r>
            <w:r w:rsidR="00C90186" w:rsidRPr="00845E28">
              <w:rPr>
                <w:rFonts w:ascii="Sylfaen" w:hAnsi="Sylfaen"/>
                <w:sz w:val="24"/>
                <w:szCs w:val="24"/>
                <w:lang w:val="ka-GE"/>
              </w:rPr>
              <w:t>ები</w:t>
            </w:r>
          </w:p>
        </w:tc>
        <w:tc>
          <w:tcPr>
            <w:tcW w:w="3484" w:type="dxa"/>
          </w:tcPr>
          <w:p w:rsidR="006A1D06" w:rsidRPr="00845E28" w:rsidRDefault="006A1D06" w:rsidP="00845E28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</w:tr>
    </w:tbl>
    <w:p w:rsidR="005753D9" w:rsidRPr="00845E28" w:rsidRDefault="005753D9" w:rsidP="00845E28">
      <w:pPr>
        <w:jc w:val="both"/>
        <w:rPr>
          <w:rFonts w:ascii="Sylfaen" w:hAnsi="Sylfaen"/>
          <w:sz w:val="24"/>
          <w:szCs w:val="24"/>
          <w:lang w:val="ka-GE"/>
        </w:rPr>
      </w:pPr>
    </w:p>
    <w:p w:rsidR="008313E7" w:rsidRPr="00845E28" w:rsidRDefault="002D2EBE" w:rsidP="00845E28">
      <w:pPr>
        <w:jc w:val="both"/>
        <w:rPr>
          <w:rFonts w:ascii="Sylfaen" w:hAnsi="Sylfaen"/>
          <w:sz w:val="24"/>
          <w:szCs w:val="24"/>
        </w:rPr>
      </w:pPr>
      <w:r w:rsidRPr="00845E28">
        <w:rPr>
          <w:rFonts w:ascii="Sylfaen" w:hAnsi="Sylfaen"/>
          <w:sz w:val="24"/>
          <w:szCs w:val="24"/>
          <w:lang w:val="ka-GE"/>
        </w:rPr>
        <w:t>სხვა პასუხ</w:t>
      </w:r>
      <w:r w:rsidR="00180F13" w:rsidRPr="00845E28">
        <w:rPr>
          <w:rFonts w:ascii="Sylfaen" w:hAnsi="Sylfaen"/>
          <w:sz w:val="24"/>
          <w:szCs w:val="24"/>
          <w:lang w:val="ka-GE"/>
        </w:rPr>
        <w:t>ის</w:t>
      </w:r>
      <w:r w:rsidRPr="00845E28">
        <w:rPr>
          <w:rFonts w:ascii="Sylfaen" w:hAnsi="Sylfaen"/>
          <w:sz w:val="24"/>
          <w:szCs w:val="24"/>
          <w:lang w:val="ka-GE"/>
        </w:rPr>
        <w:t>მგებელი ქვე-უწყება/სააგენტო:</w:t>
      </w:r>
      <w:r w:rsidR="005532A9" w:rsidRPr="00845E28">
        <w:rPr>
          <w:rFonts w:ascii="Sylfaen" w:hAnsi="Sylfaen"/>
          <w:sz w:val="24"/>
          <w:szCs w:val="24"/>
          <w:lang w:val="ka-GE"/>
        </w:rPr>
        <w:t xml:space="preserve"> </w:t>
      </w:r>
      <w:r w:rsidRPr="00845E28">
        <w:rPr>
          <w:rFonts w:ascii="Sylfaen" w:hAnsi="Sylfaen"/>
          <w:sz w:val="24"/>
          <w:szCs w:val="24"/>
          <w:lang w:val="ka-GE"/>
        </w:rPr>
        <w:t xml:space="preserve"> </w:t>
      </w:r>
    </w:p>
    <w:p w:rsidR="005753D9" w:rsidRPr="00845E28" w:rsidRDefault="005753D9" w:rsidP="00845E28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5753D9" w:rsidRPr="00845E28" w:rsidSect="008313E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28A3"/>
    <w:multiLevelType w:val="hybridMultilevel"/>
    <w:tmpl w:val="91804AE4"/>
    <w:lvl w:ilvl="0" w:tplc="E0024CA4">
      <w:start w:val="1"/>
      <w:numFmt w:val="decimal"/>
      <w:lvlText w:val="%1."/>
      <w:lvlJc w:val="left"/>
      <w:pPr>
        <w:ind w:left="6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0" w:hanging="360"/>
      </w:pPr>
    </w:lvl>
    <w:lvl w:ilvl="2" w:tplc="0409001B" w:tentative="1">
      <w:start w:val="1"/>
      <w:numFmt w:val="lowerRoman"/>
      <w:lvlText w:val="%3."/>
      <w:lvlJc w:val="right"/>
      <w:pPr>
        <w:ind w:left="2050" w:hanging="180"/>
      </w:pPr>
    </w:lvl>
    <w:lvl w:ilvl="3" w:tplc="0409000F" w:tentative="1">
      <w:start w:val="1"/>
      <w:numFmt w:val="decimal"/>
      <w:lvlText w:val="%4."/>
      <w:lvlJc w:val="left"/>
      <w:pPr>
        <w:ind w:left="2770" w:hanging="360"/>
      </w:pPr>
    </w:lvl>
    <w:lvl w:ilvl="4" w:tplc="04090019" w:tentative="1">
      <w:start w:val="1"/>
      <w:numFmt w:val="lowerLetter"/>
      <w:lvlText w:val="%5."/>
      <w:lvlJc w:val="left"/>
      <w:pPr>
        <w:ind w:left="3490" w:hanging="360"/>
      </w:pPr>
    </w:lvl>
    <w:lvl w:ilvl="5" w:tplc="0409001B" w:tentative="1">
      <w:start w:val="1"/>
      <w:numFmt w:val="lowerRoman"/>
      <w:lvlText w:val="%6."/>
      <w:lvlJc w:val="right"/>
      <w:pPr>
        <w:ind w:left="4210" w:hanging="180"/>
      </w:pPr>
    </w:lvl>
    <w:lvl w:ilvl="6" w:tplc="0409000F" w:tentative="1">
      <w:start w:val="1"/>
      <w:numFmt w:val="decimal"/>
      <w:lvlText w:val="%7."/>
      <w:lvlJc w:val="left"/>
      <w:pPr>
        <w:ind w:left="4930" w:hanging="360"/>
      </w:pPr>
    </w:lvl>
    <w:lvl w:ilvl="7" w:tplc="04090019" w:tentative="1">
      <w:start w:val="1"/>
      <w:numFmt w:val="lowerLetter"/>
      <w:lvlText w:val="%8."/>
      <w:lvlJc w:val="left"/>
      <w:pPr>
        <w:ind w:left="5650" w:hanging="360"/>
      </w:pPr>
    </w:lvl>
    <w:lvl w:ilvl="8" w:tplc="0409001B" w:tentative="1">
      <w:start w:val="1"/>
      <w:numFmt w:val="lowerRoman"/>
      <w:lvlText w:val="%9."/>
      <w:lvlJc w:val="right"/>
      <w:pPr>
        <w:ind w:left="6370" w:hanging="180"/>
      </w:pPr>
    </w:lvl>
  </w:abstractNum>
  <w:abstractNum w:abstractNumId="1" w15:restartNumberingAfterBreak="0">
    <w:nsid w:val="02CB6296"/>
    <w:multiLevelType w:val="hybridMultilevel"/>
    <w:tmpl w:val="6F4EA2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C0C6C"/>
    <w:multiLevelType w:val="multilevel"/>
    <w:tmpl w:val="8BD4A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F6458"/>
    <w:multiLevelType w:val="hybridMultilevel"/>
    <w:tmpl w:val="B9A694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314"/>
    <w:rsid w:val="00052DB4"/>
    <w:rsid w:val="000D4852"/>
    <w:rsid w:val="00122443"/>
    <w:rsid w:val="001526B5"/>
    <w:rsid w:val="00180F13"/>
    <w:rsid w:val="001C4EC5"/>
    <w:rsid w:val="00250885"/>
    <w:rsid w:val="00281F60"/>
    <w:rsid w:val="002C0F4D"/>
    <w:rsid w:val="002D2EBE"/>
    <w:rsid w:val="00310F86"/>
    <w:rsid w:val="00317D1E"/>
    <w:rsid w:val="003851C4"/>
    <w:rsid w:val="00481946"/>
    <w:rsid w:val="004B17FE"/>
    <w:rsid w:val="00526702"/>
    <w:rsid w:val="005532A9"/>
    <w:rsid w:val="005753D9"/>
    <w:rsid w:val="005A4464"/>
    <w:rsid w:val="005C181B"/>
    <w:rsid w:val="005C4553"/>
    <w:rsid w:val="006A1D06"/>
    <w:rsid w:val="006A7776"/>
    <w:rsid w:val="007F3314"/>
    <w:rsid w:val="008313E7"/>
    <w:rsid w:val="00845E28"/>
    <w:rsid w:val="00856068"/>
    <w:rsid w:val="00885A3C"/>
    <w:rsid w:val="00893975"/>
    <w:rsid w:val="008A6D88"/>
    <w:rsid w:val="008C4F40"/>
    <w:rsid w:val="008F6317"/>
    <w:rsid w:val="00953B66"/>
    <w:rsid w:val="00963175"/>
    <w:rsid w:val="009F3C66"/>
    <w:rsid w:val="00B01BC1"/>
    <w:rsid w:val="00B56D54"/>
    <w:rsid w:val="00B90485"/>
    <w:rsid w:val="00BE380E"/>
    <w:rsid w:val="00C521F3"/>
    <w:rsid w:val="00C77E6C"/>
    <w:rsid w:val="00C90186"/>
    <w:rsid w:val="00CF5026"/>
    <w:rsid w:val="00DB74A9"/>
    <w:rsid w:val="00E464D6"/>
    <w:rsid w:val="00F014CB"/>
    <w:rsid w:val="00F43634"/>
    <w:rsid w:val="00F865B3"/>
    <w:rsid w:val="00F9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217DB8-8A56-45BC-AAFC-9C1AF6D6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4F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508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88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50885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F5026"/>
    <w:rPr>
      <w:color w:val="0000FF"/>
      <w:u w:val="single"/>
    </w:rPr>
  </w:style>
  <w:style w:type="character" w:customStyle="1" w:styleId="offscreen">
    <w:name w:val="offscreen"/>
    <w:basedOn w:val="DefaultParagraphFont"/>
    <w:rsid w:val="00CF5026"/>
  </w:style>
  <w:style w:type="paragraph" w:styleId="NormalWeb">
    <w:name w:val="Normal (Web)"/>
    <w:basedOn w:val="Normal"/>
    <w:uiPriority w:val="99"/>
    <w:semiHidden/>
    <w:unhideWhenUsed/>
    <w:rsid w:val="00F865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F86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4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nuka Nemsadze</dc:creator>
  <cp:lastModifiedBy>Maia Nikoleishvili</cp:lastModifiedBy>
  <cp:revision>2</cp:revision>
  <cp:lastPrinted>2017-06-27T11:19:00Z</cp:lastPrinted>
  <dcterms:created xsi:type="dcterms:W3CDTF">2018-04-26T13:22:00Z</dcterms:created>
  <dcterms:modified xsi:type="dcterms:W3CDTF">2018-04-26T13:22:00Z</dcterms:modified>
</cp:coreProperties>
</file>